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BY:</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color w:val="ffffff"/>
          <w:u w:val="single"/>
          <w:vertAlign w:val="baseline"/>
          <w:rtl w:val="0"/>
        </w:rPr>
        <w:t xml:space="preserve">.</w:t>
      </w:r>
      <w:r w:rsidDel="00000000" w:rsidR="00000000" w:rsidRPr="00000000">
        <w:rPr>
          <w:rtl w:val="0"/>
        </w:rPr>
      </w:r>
    </w:p>
    <w:p w:rsidR="00000000" w:rsidDel="00000000" w:rsidP="00000000" w:rsidRDefault="00000000" w:rsidRPr="00000000">
      <w:pPr>
        <w:pStyle w:val="Heading1"/>
        <w:contextualSpacing w:val="0"/>
        <w:jc w:val="center"/>
        <w:rPr>
          <w:sz w:val="28"/>
          <w:szCs w:val="28"/>
          <w:u w:val="none"/>
          <w:vertAlign w:val="baseline"/>
        </w:rPr>
      </w:pPr>
      <w:bookmarkStart w:colFirst="0" w:colLast="0" w:name="_gjvd13c7owxe" w:id="0"/>
      <w:bookmarkEnd w:id="0"/>
      <w:r w:rsidDel="00000000" w:rsidR="00000000" w:rsidRPr="00000000">
        <w:rPr>
          <w:sz w:val="28"/>
          <w:szCs w:val="28"/>
          <w:u w:val="none"/>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vertAlign w:val="baseline"/>
          <w:rtl w:val="0"/>
        </w:rPr>
        <w:t xml:space="preserve">DATE:_________________</w:t>
      </w:r>
      <w:r w:rsidDel="00000000" w:rsidR="00000000" w:rsidRPr="00000000">
        <w:rPr>
          <w:rFonts w:ascii="Times New Roman" w:cs="Times New Roman" w:eastAsia="Times New Roman" w:hAnsi="Times New Roman"/>
          <w:rtl w:val="0"/>
        </w:rPr>
        <w:t xml:space="preserve">____________</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SCHOOL:</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color w:val="ffffff"/>
          <w:u w:val="single"/>
          <w:vertAlign w:val="baseline"/>
          <w:rtl w:val="0"/>
        </w:rPr>
        <w:t xml:space="preserv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ffffff"/>
          <w:u w:val="single"/>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8"/>
          <w:szCs w:val="28"/>
          <w:rtl w:val="0"/>
        </w:rPr>
        <w:t xml:space="preserve"> ITEMS </w:t>
      </w:r>
      <w:r w:rsidDel="00000000" w:rsidR="00000000" w:rsidRPr="00000000">
        <w:rPr>
          <w:rFonts w:ascii="Times New Roman" w:cs="Times New Roman" w:eastAsia="Times New Roman" w:hAnsi="Times New Roman"/>
          <w:b w:val="1"/>
          <w:sz w:val="28"/>
          <w:szCs w:val="28"/>
          <w:vertAlign w:val="baseline"/>
          <w:rtl w:val="0"/>
        </w:rPr>
        <w:t xml:space="preserve">TO BE DECLARED SURPLUS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ffffff"/>
          <w:u w:val="single"/>
          <w:vertAlign w:val="baseline"/>
        </w:rPr>
      </w:pPr>
      <w:r w:rsidDel="00000000" w:rsidR="00000000" w:rsidRPr="00000000">
        <w:rPr>
          <w:rtl w:val="0"/>
        </w:rPr>
      </w:r>
    </w:p>
    <w:tbl>
      <w:tblPr>
        <w:tblStyle w:val="Table1"/>
        <w:tblW w:w="146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5"/>
        <w:gridCol w:w="1440"/>
        <w:gridCol w:w="1440"/>
        <w:gridCol w:w="1440"/>
        <w:gridCol w:w="1620"/>
        <w:gridCol w:w="1440"/>
        <w:gridCol w:w="2340"/>
        <w:tblGridChange w:id="0">
          <w:tblGrid>
            <w:gridCol w:w="4975"/>
            <w:gridCol w:w="1440"/>
            <w:gridCol w:w="1440"/>
            <w:gridCol w:w="1440"/>
            <w:gridCol w:w="1620"/>
            <w:gridCol w:w="1440"/>
            <w:gridCol w:w="2340"/>
          </w:tblGrid>
        </w:tblGridChange>
      </w:tblGrid>
      <w:tr>
        <w:tc>
          <w:tcPr>
            <w:vMerge w:val="restart"/>
            <w:vAlign w:val="top"/>
          </w:tcPr>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ITEM</w:t>
            </w:r>
          </w:p>
        </w:tc>
        <w:tc>
          <w:tcPr>
            <w:vMerge w:val="restart"/>
            <w:vAlign w:val="top"/>
          </w:tcPr>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ASSET NO. (TAG NO.)</w:t>
            </w:r>
          </w:p>
        </w:tc>
        <w:tc>
          <w:tcPr>
            <w:gridSpan w:val="2"/>
            <w:vAlign w:val="top"/>
          </w:tcPr>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IDENTIFICATION</w:t>
            </w:r>
          </w:p>
        </w:tc>
        <w:tc>
          <w:tcPr>
            <w:vMerge w:val="restart"/>
            <w:vAlign w:val="top"/>
          </w:tcPr>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PRESENT LOCATION</w:t>
            </w:r>
          </w:p>
        </w:tc>
        <w:tc>
          <w:tcPr>
            <w:vMerge w:val="restart"/>
            <w:vAlign w:val="top"/>
          </w:tcPr>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*SPECIAL FUNDING</w:t>
            </w:r>
          </w:p>
        </w:tc>
        <w:tc>
          <w:tcPr>
            <w:vAlign w:val="top"/>
          </w:tcPr>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CONDITION OF</w:t>
            </w:r>
          </w:p>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EQUIPMENT</w:t>
            </w:r>
          </w:p>
        </w:tc>
      </w:tr>
      <w:tr>
        <w:tc>
          <w:tcPr>
            <w:vMerge w:val="continue"/>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MODEL NO.</w:t>
            </w:r>
          </w:p>
        </w:tc>
        <w:tc>
          <w:tcPr>
            <w:vAlign w:val="top"/>
          </w:tcPr>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SERIAL NO.</w:t>
            </w:r>
          </w:p>
        </w:tc>
        <w:tc>
          <w:tcPr>
            <w:vMerge w:val="continue"/>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pPr>
              <w:contextualSpacing w:val="0"/>
              <w:jc w:val="left"/>
              <w:rPr>
                <w:rFonts w:ascii="Verdana" w:cs="Verdana" w:eastAsia="Verdana" w:hAnsi="Verdana"/>
                <w:color w:val="000033"/>
                <w:sz w:val="21"/>
                <w:szCs w:val="21"/>
              </w:rPr>
            </w:pPr>
            <w:r w:rsidDel="00000000" w:rsidR="00000000" w:rsidRPr="00000000">
              <w:rPr>
                <w:rFonts w:ascii="Verdana" w:cs="Verdana" w:eastAsia="Verdana" w:hAnsi="Verdana"/>
                <w:color w:val="000033"/>
                <w:sz w:val="21"/>
                <w:szCs w:val="21"/>
                <w:rtl w:val="0"/>
              </w:rPr>
              <w:t xml:space="preserve">       (1) usable</w:t>
            </w:r>
          </w:p>
          <w:p w:rsidR="00000000" w:rsidDel="00000000" w:rsidP="00000000" w:rsidRDefault="00000000" w:rsidRPr="00000000">
            <w:pPr>
              <w:contextualSpacing w:val="0"/>
              <w:jc w:val="center"/>
              <w:rPr>
                <w:rFonts w:ascii="Verdana" w:cs="Verdana" w:eastAsia="Verdana" w:hAnsi="Verdana"/>
                <w:color w:val="000033"/>
                <w:sz w:val="21"/>
                <w:szCs w:val="21"/>
              </w:rPr>
            </w:pPr>
            <w:r w:rsidDel="00000000" w:rsidR="00000000" w:rsidRPr="00000000">
              <w:rPr>
                <w:rFonts w:ascii="Verdana" w:cs="Verdana" w:eastAsia="Verdana" w:hAnsi="Verdana"/>
                <w:color w:val="000033"/>
                <w:sz w:val="21"/>
                <w:szCs w:val="21"/>
                <w:rtl w:val="0"/>
              </w:rPr>
              <w:t xml:space="preserve">    (2) unusable </w:t>
            </w:r>
          </w:p>
          <w:p w:rsidR="00000000" w:rsidDel="00000000" w:rsidP="00000000" w:rsidRDefault="00000000" w:rsidRPr="00000000">
            <w:pPr>
              <w:contextualSpacing w:val="0"/>
              <w:jc w:val="center"/>
              <w:rPr>
                <w:rFonts w:ascii="Verdana" w:cs="Verdana" w:eastAsia="Verdana" w:hAnsi="Verdana"/>
                <w:color w:val="000033"/>
                <w:sz w:val="21"/>
                <w:szCs w:val="21"/>
              </w:rPr>
            </w:pPr>
            <w:r w:rsidDel="00000000" w:rsidR="00000000" w:rsidRPr="00000000">
              <w:rPr>
                <w:rFonts w:ascii="Verdana" w:cs="Verdana" w:eastAsia="Verdana" w:hAnsi="Verdana"/>
                <w:color w:val="000033"/>
                <w:sz w:val="21"/>
                <w:szCs w:val="21"/>
                <w:rtl w:val="0"/>
              </w:rPr>
              <w:t xml:space="preserve">      (3) future use</w:t>
            </w:r>
          </w:p>
          <w:p w:rsidR="00000000" w:rsidDel="00000000" w:rsidP="00000000" w:rsidRDefault="00000000" w:rsidRPr="00000000">
            <w:pPr>
              <w:contextualSpacing w:val="0"/>
              <w:jc w:val="center"/>
              <w:rPr>
                <w:rFonts w:ascii="Verdana" w:cs="Verdana" w:eastAsia="Verdana" w:hAnsi="Verdana"/>
                <w:color w:val="000033"/>
                <w:sz w:val="21"/>
                <w:szCs w:val="21"/>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Please make arrangements to move the above equipment to your campus storage location.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ffffff"/>
          <w:u w:val="single"/>
          <w:vertAlign w:val="baseline"/>
        </w:rPr>
      </w:pPr>
      <w:r w:rsidDel="00000000" w:rsidR="00000000" w:rsidRPr="00000000">
        <w:rPr>
          <w:rFonts w:ascii="Times New Roman" w:cs="Times New Roman" w:eastAsia="Times New Roman" w:hAnsi="Times New Roman"/>
          <w:rtl w:val="0"/>
        </w:rPr>
        <w:t xml:space="preserve">SCHOOL PRINCIPAL </w:t>
      </w:r>
      <w:r w:rsidDel="00000000" w:rsidR="00000000" w:rsidRPr="00000000">
        <w:rPr>
          <w:rFonts w:ascii="Times New Roman" w:cs="Times New Roman" w:eastAsia="Times New Roman" w:hAnsi="Times New Roman"/>
          <w:vertAlign w:val="baseline"/>
          <w:rtl w:val="0"/>
        </w:rPr>
        <w:t xml:space="preserve">APPROVAL:</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color w:val="ffffff"/>
          <w:u w:val="single"/>
          <w:vertAlign w:val="baseline"/>
          <w:rtl w:val="0"/>
        </w:rPr>
        <w:t xml:space="preserve">.</w:t>
      </w:r>
    </w:p>
    <w:p w:rsidR="00000000" w:rsidDel="00000000" w:rsidP="00000000" w:rsidRDefault="00000000" w:rsidRPr="00000000">
      <w:pP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ffffff"/>
          <w:u w:val="single"/>
        </w:rPr>
      </w:pPr>
      <w:r w:rsidDel="00000000" w:rsidR="00000000" w:rsidRPr="00000000">
        <w:rPr>
          <w:rFonts w:ascii="Times New Roman" w:cs="Times New Roman" w:eastAsia="Times New Roman" w:hAnsi="Times New Roman"/>
          <w:rtl w:val="0"/>
        </w:rPr>
        <w:t xml:space="preserve">FACILITIES  DIRECTOR </w:t>
      </w:r>
      <w:r w:rsidDel="00000000" w:rsidR="00000000" w:rsidRPr="00000000">
        <w:rPr>
          <w:rFonts w:ascii="Times New Roman" w:cs="Times New Roman" w:eastAsia="Times New Roman" w:hAnsi="Times New Roman"/>
          <w:vertAlign w:val="baseline"/>
          <w:rtl w:val="0"/>
        </w:rPr>
        <w:t xml:space="preserve">APPROVAL:</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color w:val="ffffff"/>
          <w:u w:val="single"/>
          <w:vertAlign w:val="baseline"/>
          <w:rtl w:val="0"/>
        </w:rPr>
        <w:t xml:space="preserve">.</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33"/>
          <w:sz w:val="21"/>
          <w:szCs w:val="21"/>
          <w:u w:val="single"/>
        </w:rPr>
      </w:pPr>
      <w:r w:rsidDel="00000000" w:rsidR="00000000" w:rsidRPr="00000000">
        <w:rPr>
          <w:b w:val="1"/>
          <w:rtl w:val="0"/>
        </w:rPr>
        <w:t xml:space="preserve">                                                                    </w:t>
      </w:r>
      <w:r w:rsidDel="00000000" w:rsidR="00000000" w:rsidRPr="00000000">
        <w:rPr>
          <w:b w:val="1"/>
          <w:rtl w:val="0"/>
        </w:rPr>
        <w:t xml:space="preserve">School Properties Disposal Procedures</w:t>
      </w:r>
      <w:r w:rsidDel="00000000" w:rsidR="00000000" w:rsidRPr="00000000">
        <w:rPr>
          <w:rtl w:val="0"/>
        </w:rPr>
        <w:t xml:space="preserve">  </w:t>
      </w:r>
      <w:r w:rsidDel="00000000" w:rsidR="00000000" w:rsidRPr="00000000">
        <w:rPr>
          <w:rFonts w:ascii="Verdana" w:cs="Verdana" w:eastAsia="Verdana" w:hAnsi="Verdana"/>
          <w:b w:val="1"/>
          <w:sz w:val="21"/>
          <w:szCs w:val="21"/>
          <w:shd w:fill="f9f9f9" w:val="clear"/>
          <w:rtl w:val="0"/>
        </w:rPr>
        <w:t xml:space="preserve">                      </w:t>
      </w:r>
      <w:r w:rsidDel="00000000" w:rsidR="00000000" w:rsidRPr="00000000">
        <w:rPr>
          <w:rFonts w:ascii="Verdana" w:cs="Verdana" w:eastAsia="Verdana" w:hAnsi="Verdana"/>
          <w:b w:val="1"/>
          <w:color w:val="ffffff"/>
          <w:sz w:val="21"/>
          <w:szCs w:val="21"/>
          <w:shd w:fill="f9f9f9" w:val="clear"/>
          <w:rtl w:val="0"/>
        </w:rPr>
        <w:t xml:space="preserve">                                               </w:t>
      </w:r>
      <w:r w:rsidDel="00000000" w:rsidR="00000000" w:rsidRPr="00000000">
        <w:rPr>
          <w:rFonts w:ascii="Verdana" w:cs="Verdana" w:eastAsia="Verdana" w:hAnsi="Verdana"/>
          <w:color w:val="ffffff"/>
          <w:sz w:val="21"/>
          <w:szCs w:val="21"/>
          <w:shd w:fill="f9f9f9" w:val="clear"/>
          <w:rtl w:val="0"/>
        </w:rPr>
        <w:t xml:space="preserve">                        </w:t>
      </w:r>
      <w:r w:rsidDel="00000000" w:rsidR="00000000" w:rsidRPr="00000000">
        <w:rPr>
          <w:rFonts w:ascii="Verdana" w:cs="Verdana" w:eastAsia="Verdana" w:hAnsi="Verdana"/>
          <w:color w:val="000033"/>
          <w:sz w:val="21"/>
          <w:szCs w:val="21"/>
          <w:shd w:fill="f9f9f9" w:val="clear"/>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33"/>
          <w:sz w:val="21"/>
          <w:szCs w:val="21"/>
          <w:u w:val="single"/>
        </w:rPr>
      </w:pPr>
      <w:r w:rsidDel="00000000" w:rsidR="00000000" w:rsidRPr="00000000">
        <w:rPr>
          <w:rFonts w:ascii="Verdana" w:cs="Verdana" w:eastAsia="Verdana" w:hAnsi="Verdana"/>
          <w:color w:val="000033"/>
          <w:sz w:val="21"/>
          <w:szCs w:val="21"/>
          <w:u w:val="single"/>
          <w:rtl w:val="0"/>
        </w:rPr>
        <w:t xml:space="preserve">Ownership and management of Baldwin County School District property is a public trust and it is the policy of the Baldwin County Board of Education that the disposal of surplus properties shall be executed in a manner which protects the interest of citizens of the District.  The Board recognizes that in some instances, private sale of school properties will obtain the highest price, while other instances, public sale to the highest bidder will be most advantageous to the District.  Accordingly, the Board approves the following rules in connection with the disposal of school properties:</w:t>
      </w:r>
    </w:p>
    <w:p w:rsidR="00000000" w:rsidDel="00000000" w:rsidP="00000000" w:rsidRDefault="00000000" w:rsidRPr="00000000">
      <w:pPr>
        <w:contextualSpacing w:val="0"/>
        <w:rPr>
          <w:rFonts w:ascii="Verdana" w:cs="Verdana" w:eastAsia="Verdana" w:hAnsi="Verdana"/>
          <w:color w:val="000033"/>
          <w:sz w:val="21"/>
          <w:szCs w:val="21"/>
          <w:u w:val="singl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color w:val="000033"/>
          <w:sz w:val="21"/>
          <w:szCs w:val="21"/>
          <w:u w:val="single"/>
        </w:rPr>
      </w:pPr>
      <w:r w:rsidDel="00000000" w:rsidR="00000000" w:rsidRPr="00000000">
        <w:rPr>
          <w:rFonts w:ascii="Verdana" w:cs="Verdana" w:eastAsia="Verdana" w:hAnsi="Verdana"/>
          <w:b w:val="1"/>
          <w:color w:val="000033"/>
          <w:sz w:val="21"/>
          <w:szCs w:val="21"/>
          <w:u w:val="single"/>
          <w:rtl w:val="0"/>
        </w:rPr>
        <w:t xml:space="preserve">Disposal Procedures</w:t>
      </w:r>
    </w:p>
    <w:p w:rsidR="00000000" w:rsidDel="00000000" w:rsidP="00000000" w:rsidRDefault="00000000" w:rsidRPr="00000000">
      <w:pPr>
        <w:contextualSpacing w:val="0"/>
        <w:rPr>
          <w:rFonts w:ascii="Verdana" w:cs="Verdana" w:eastAsia="Verdana" w:hAnsi="Verdana"/>
          <w:b w:val="1"/>
          <w:color w:val="000033"/>
          <w:sz w:val="21"/>
          <w:szCs w:val="21"/>
          <w:u w:val="singl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color w:val="000033"/>
          <w:sz w:val="21"/>
          <w:szCs w:val="21"/>
          <w:u w:val="single"/>
        </w:rPr>
      </w:pPr>
      <w:r w:rsidDel="00000000" w:rsidR="00000000" w:rsidRPr="00000000">
        <w:rPr>
          <w:rFonts w:ascii="Verdana" w:cs="Verdana" w:eastAsia="Verdana" w:hAnsi="Verdana"/>
          <w:b w:val="1"/>
          <w:color w:val="000033"/>
          <w:sz w:val="21"/>
          <w:szCs w:val="21"/>
          <w:u w:val="single"/>
          <w:rtl w:val="0"/>
        </w:rPr>
        <w:t xml:space="preserve">A.  Classification of School Property</w:t>
      </w:r>
    </w:p>
    <w:p w:rsidR="00000000" w:rsidDel="00000000" w:rsidP="00000000" w:rsidRDefault="00000000" w:rsidRPr="00000000">
      <w:pPr>
        <w:contextualSpacing w:val="0"/>
        <w:rPr>
          <w:rFonts w:ascii="Verdana" w:cs="Verdana" w:eastAsia="Verdana" w:hAnsi="Verdana"/>
          <w:b w:val="1"/>
          <w:color w:val="000033"/>
          <w:sz w:val="21"/>
          <w:szCs w:val="21"/>
          <w:u w:val="singl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33"/>
          <w:sz w:val="21"/>
          <w:szCs w:val="21"/>
          <w:u w:val="single"/>
        </w:rPr>
      </w:pPr>
      <w:r w:rsidDel="00000000" w:rsidR="00000000" w:rsidRPr="00000000">
        <w:rPr>
          <w:rFonts w:ascii="Verdana" w:cs="Verdana" w:eastAsia="Verdana" w:hAnsi="Verdana"/>
          <w:color w:val="000033"/>
          <w:sz w:val="21"/>
          <w:szCs w:val="21"/>
          <w:u w:val="single"/>
          <w:rtl w:val="0"/>
        </w:rPr>
        <w:t xml:space="preserve">The Superintendent shall charge the Facilities Director with the responsibility of classifying school property as:  (1) usable; (2) unusable; or (3) future use.  Property which is unusable and is not practicable to sell, shall be destroyed.</w:t>
      </w:r>
    </w:p>
    <w:p w:rsidR="00000000" w:rsidDel="00000000" w:rsidP="00000000" w:rsidRDefault="00000000" w:rsidRPr="00000000">
      <w:pPr>
        <w:contextualSpacing w:val="0"/>
        <w:rPr>
          <w:rFonts w:ascii="Verdana" w:cs="Verdana" w:eastAsia="Verdana" w:hAnsi="Verdana"/>
          <w:color w:val="000033"/>
          <w:sz w:val="21"/>
          <w:szCs w:val="21"/>
          <w:u w:val="singl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color w:val="000033"/>
          <w:sz w:val="21"/>
          <w:szCs w:val="21"/>
          <w:u w:val="single"/>
        </w:rPr>
      </w:pPr>
      <w:r w:rsidDel="00000000" w:rsidR="00000000" w:rsidRPr="00000000">
        <w:rPr>
          <w:rFonts w:ascii="Verdana" w:cs="Verdana" w:eastAsia="Verdana" w:hAnsi="Verdana"/>
          <w:b w:val="1"/>
          <w:color w:val="000033"/>
          <w:sz w:val="21"/>
          <w:szCs w:val="21"/>
          <w:u w:val="single"/>
          <w:rtl w:val="0"/>
        </w:rPr>
        <w:t xml:space="preserve">B.  Sale of Surplus School Property</w:t>
      </w:r>
    </w:p>
    <w:p w:rsidR="00000000" w:rsidDel="00000000" w:rsidP="00000000" w:rsidRDefault="00000000" w:rsidRPr="00000000">
      <w:pPr>
        <w:contextualSpacing w:val="0"/>
        <w:rPr>
          <w:rFonts w:ascii="Verdana" w:cs="Verdana" w:eastAsia="Verdana" w:hAnsi="Verdana"/>
          <w:b w:val="1"/>
          <w:color w:val="000033"/>
          <w:sz w:val="21"/>
          <w:szCs w:val="21"/>
          <w:u w:val="single"/>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color w:val="000033"/>
          <w:u w:val="single"/>
        </w:rPr>
      </w:pPr>
      <w:r w:rsidDel="00000000" w:rsidR="00000000" w:rsidRPr="00000000">
        <w:rPr>
          <w:rFonts w:ascii="Verdana" w:cs="Verdana" w:eastAsia="Verdana" w:hAnsi="Verdana"/>
          <w:color w:val="000033"/>
          <w:sz w:val="21"/>
          <w:szCs w:val="21"/>
          <w:u w:val="single"/>
          <w:rtl w:val="0"/>
        </w:rPr>
        <w:t xml:space="preserve">1.  </w:t>
      </w:r>
      <w:r w:rsidDel="00000000" w:rsidR="00000000" w:rsidRPr="00000000">
        <w:rPr>
          <w:rFonts w:ascii="Verdana" w:cs="Verdana" w:eastAsia="Verdana" w:hAnsi="Verdana"/>
          <w:b w:val="1"/>
          <w:color w:val="000033"/>
          <w:sz w:val="21"/>
          <w:szCs w:val="21"/>
          <w:u w:val="single"/>
          <w:rtl w:val="0"/>
        </w:rPr>
        <w:t xml:space="preserve"> </w:t>
      </w:r>
      <w:r w:rsidDel="00000000" w:rsidR="00000000" w:rsidRPr="00000000">
        <w:rPr>
          <w:rFonts w:ascii="Verdana" w:cs="Verdana" w:eastAsia="Verdana" w:hAnsi="Verdana"/>
          <w:color w:val="000033"/>
          <w:u w:val="single"/>
          <w:rtl w:val="0"/>
        </w:rPr>
        <w:t xml:space="preserve">The Board shall by resolution declare all surplus school property, including school house sites, unnecessary and inconvenient for school purposes and specify the terms and manner of sale.</w:t>
      </w:r>
    </w:p>
    <w:p w:rsidR="00000000" w:rsidDel="00000000" w:rsidP="00000000" w:rsidRDefault="00000000" w:rsidRPr="00000000">
      <w:pPr>
        <w:spacing w:line="276" w:lineRule="auto"/>
        <w:contextualSpacing w:val="0"/>
        <w:rPr>
          <w:rFonts w:ascii="Verdana" w:cs="Verdana" w:eastAsia="Verdana" w:hAnsi="Verdana"/>
          <w:color w:val="000033"/>
          <w:u w:val="single"/>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color w:val="000033"/>
          <w:u w:val="single"/>
        </w:rPr>
      </w:pPr>
      <w:r w:rsidDel="00000000" w:rsidR="00000000" w:rsidRPr="00000000">
        <w:rPr>
          <w:rFonts w:ascii="Verdana" w:cs="Verdana" w:eastAsia="Verdana" w:hAnsi="Verdana"/>
          <w:color w:val="000033"/>
          <w:u w:val="single"/>
          <w:rtl w:val="0"/>
        </w:rPr>
        <w:t xml:space="preserve">2.  Unless the Board makes the determination that private sale of surplus property is more appropriate, taking into consideration all of the circumstances, the sale of said property shall be advertised for public sale to the highest bidder for cash only.  Provided, however, that the Board shall reserve the right to reject all bids. </w:t>
      </w:r>
    </w:p>
    <w:p w:rsidR="00000000" w:rsidDel="00000000" w:rsidP="00000000" w:rsidRDefault="00000000" w:rsidRPr="00000000">
      <w:pPr>
        <w:spacing w:line="276" w:lineRule="auto"/>
        <w:contextualSpacing w:val="0"/>
        <w:rPr>
          <w:rFonts w:ascii="Verdana" w:cs="Verdana" w:eastAsia="Verdana" w:hAnsi="Verdana"/>
          <w:color w:val="000033"/>
          <w:u w:val="single"/>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color w:val="000033"/>
          <w:u w:val="single"/>
        </w:rPr>
      </w:pPr>
      <w:r w:rsidDel="00000000" w:rsidR="00000000" w:rsidRPr="00000000">
        <w:rPr>
          <w:rFonts w:ascii="Verdana" w:cs="Verdana" w:eastAsia="Verdana" w:hAnsi="Verdana"/>
          <w:color w:val="000033"/>
          <w:u w:val="single"/>
          <w:rtl w:val="0"/>
        </w:rPr>
        <w:t xml:space="preserve">3.  If the Board determines that private sale of surplus property is more appropriate, taking into consideration all of the circumstances, the Superintendent shall invite private bids or offers to purchase and the Board shall accept the highest offer or bid for cash.  Provided, however, that the Board shall reserve the right to reject all bids or offers.</w:t>
      </w:r>
    </w:p>
    <w:p w:rsidR="00000000" w:rsidDel="00000000" w:rsidP="00000000" w:rsidRDefault="00000000" w:rsidRPr="00000000">
      <w:pPr>
        <w:spacing w:line="276" w:lineRule="auto"/>
        <w:contextualSpacing w:val="0"/>
        <w:rPr>
          <w:rFonts w:ascii="Verdana" w:cs="Verdana" w:eastAsia="Verdana" w:hAnsi="Verdana"/>
          <w:b w:val="1"/>
          <w:color w:val="000033"/>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b w:val="1"/>
          <w:color w:val="000033"/>
          <w:u w:val="single"/>
        </w:rPr>
      </w:pPr>
      <w:r w:rsidDel="00000000" w:rsidR="00000000" w:rsidRPr="00000000">
        <w:rPr>
          <w:rFonts w:ascii="Verdana" w:cs="Verdana" w:eastAsia="Verdana" w:hAnsi="Verdana"/>
          <w:color w:val="000033"/>
          <w:rtl w:val="0"/>
        </w:rPr>
        <w:t xml:space="preserve">Special Instructions for Surplus property: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color w:val="000033"/>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color w:val="000033"/>
        </w:rPr>
      </w:pPr>
      <w:r w:rsidDel="00000000" w:rsidR="00000000" w:rsidRPr="00000000">
        <w:rPr>
          <w:rFonts w:ascii="Verdana" w:cs="Verdana" w:eastAsia="Verdana" w:hAnsi="Verdana"/>
          <w:color w:val="000033"/>
          <w:rtl w:val="0"/>
        </w:rPr>
        <w:t xml:space="preserve">Board Chair approval:_____________________           Superintendent approval:_____________________                     </w:t>
      </w:r>
    </w:p>
    <w:p w:rsidR="00000000" w:rsidDel="00000000" w:rsidP="00000000" w:rsidRDefault="00000000" w:rsidRPr="00000000">
      <w:pPr>
        <w:spacing w:line="276" w:lineRule="auto"/>
        <w:contextualSpacing w:val="0"/>
        <w:rPr>
          <w:rFonts w:ascii="Verdana" w:cs="Verdana" w:eastAsia="Verdana" w:hAnsi="Verdana"/>
          <w:color w:val="000033"/>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color w:val="000033"/>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color w:val="000033"/>
        </w:rPr>
      </w:pPr>
      <w:r w:rsidDel="00000000" w:rsidR="00000000" w:rsidRPr="00000000">
        <w:rPr>
          <w:rFonts w:ascii="Verdana" w:cs="Verdana" w:eastAsia="Verdana" w:hAnsi="Verdana"/>
          <w:color w:val="000033"/>
          <w:rtl w:val="0"/>
        </w:rPr>
        <w:t xml:space="preserve">Date:____________________ </w:t>
      </w:r>
    </w:p>
    <w:p w:rsidR="00000000" w:rsidDel="00000000" w:rsidP="00000000" w:rsidRDefault="00000000" w:rsidRPr="00000000">
      <w:pPr>
        <w:spacing w:line="276" w:lineRule="auto"/>
        <w:contextualSpacing w:val="0"/>
        <w:rPr>
          <w:rFonts w:ascii="Verdana" w:cs="Verdana" w:eastAsia="Verdana" w:hAnsi="Verdana"/>
          <w:i w:val="1"/>
          <w:color w:val="000033"/>
          <w:sz w:val="16"/>
          <w:szCs w:val="16"/>
        </w:rPr>
      </w:pPr>
      <w:r w:rsidDel="00000000" w:rsidR="00000000" w:rsidRPr="00000000">
        <w:rPr>
          <w:rFonts w:ascii="Verdana" w:cs="Verdana" w:eastAsia="Verdana" w:hAnsi="Verdana"/>
          <w:i w:val="1"/>
          <w:color w:val="000033"/>
          <w:sz w:val="16"/>
          <w:szCs w:val="16"/>
          <w:rtl w:val="0"/>
        </w:rPr>
        <w:t xml:space="preserve">MPR 2017</w:t>
      </w:r>
    </w:p>
    <w:p w:rsidR="00000000" w:rsidDel="00000000" w:rsidP="00000000" w:rsidRDefault="00000000" w:rsidRPr="00000000">
      <w:pPr>
        <w:spacing w:line="276" w:lineRule="auto"/>
        <w:contextualSpacing w:val="0"/>
        <w:rPr>
          <w:rFonts w:ascii="Verdana" w:cs="Verdana" w:eastAsia="Verdana" w:hAnsi="Verdana"/>
          <w:color w:val="000033"/>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color w:val="ffffff"/>
          <w:u w:val="single"/>
        </w:rPr>
      </w:pPr>
      <w:r w:rsidDel="00000000" w:rsidR="00000000" w:rsidRPr="00000000">
        <w:rPr>
          <w:rFonts w:ascii="Verdana" w:cs="Verdana" w:eastAsia="Verdana" w:hAnsi="Verdana"/>
          <w:color w:val="000033"/>
          <w:rtl w:val="0"/>
        </w:rPr>
        <w:t xml:space="preserve"> </w:t>
      </w:r>
      <w:r w:rsidDel="00000000" w:rsidR="00000000" w:rsidRPr="00000000">
        <w:rPr>
          <w:rtl w:val="0"/>
        </w:rPr>
      </w:r>
    </w:p>
    <w:tbl>
      <w:tblPr>
        <w:tblStyle w:val="Table2"/>
        <w:tblW w:w="146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5"/>
        <w:gridCol w:w="1440"/>
        <w:gridCol w:w="1440"/>
        <w:gridCol w:w="1440"/>
        <w:gridCol w:w="1620"/>
        <w:gridCol w:w="1440"/>
        <w:gridCol w:w="2340"/>
        <w:tblGridChange w:id="0">
          <w:tblGrid>
            <w:gridCol w:w="4975"/>
            <w:gridCol w:w="1440"/>
            <w:gridCol w:w="1440"/>
            <w:gridCol w:w="1440"/>
            <w:gridCol w:w="1620"/>
            <w:gridCol w:w="1440"/>
            <w:gridCol w:w="2340"/>
          </w:tblGrid>
        </w:tblGridChange>
      </w:tblGrid>
      <w:tr>
        <w:trPr>
          <w:trHeight w:val="800" w:hRule="atLeast"/>
        </w:trPr>
        <w:tc>
          <w:tcPr>
            <w:vMerge w:val="restart"/>
            <w:vAlign w:val="top"/>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w:t>
            </w:r>
          </w:p>
        </w:tc>
        <w:tc>
          <w:tcPr>
            <w:vMerge w:val="restart"/>
            <w:vAlign w:val="top"/>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ASSET NO. (TAG NO.)</w:t>
            </w:r>
          </w:p>
        </w:tc>
        <w:tc>
          <w:tcPr>
            <w:gridSpan w:val="2"/>
            <w:vAlign w:val="top"/>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IDENTIFICATION</w:t>
            </w:r>
          </w:p>
        </w:tc>
        <w:tc>
          <w:tcPr>
            <w:vMerge w:val="restart"/>
            <w:vAlign w:val="top"/>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LOCATION</w:t>
            </w:r>
          </w:p>
        </w:tc>
        <w:tc>
          <w:tcPr>
            <w:vMerge w:val="restart"/>
            <w:vAlign w:val="top"/>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FUNDING</w:t>
            </w:r>
          </w:p>
        </w:tc>
        <w:tc>
          <w:tcPr>
            <w:vAlign w:val="top"/>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CONDITION OF</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w:t>
            </w:r>
          </w:p>
        </w:tc>
      </w:tr>
      <w:tr>
        <w:tc>
          <w:tcPr>
            <w:vMerge w:val="continue"/>
            <w:vAlign w:val="top"/>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rPr>
            </w:pPr>
            <w:r w:rsidDel="00000000" w:rsidR="00000000" w:rsidRPr="00000000">
              <w:rPr>
                <w:rtl w:val="0"/>
              </w:rPr>
            </w:r>
          </w:p>
        </w:tc>
        <w:tc>
          <w:tcPr>
            <w:vMerge w:val="continue"/>
            <w:vAlign w:val="top"/>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 NO.</w:t>
            </w:r>
          </w:p>
        </w:tc>
        <w:tc>
          <w:tcPr>
            <w:vAlign w:val="top"/>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SERIAL NO.</w:t>
            </w:r>
          </w:p>
        </w:tc>
        <w:tc>
          <w:tcPr>
            <w:vMerge w:val="continue"/>
            <w:vAlign w:val="top"/>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rPr>
            </w:pPr>
            <w:r w:rsidDel="00000000" w:rsidR="00000000" w:rsidRPr="00000000">
              <w:rPr>
                <w:rtl w:val="0"/>
              </w:rPr>
            </w:r>
          </w:p>
        </w:tc>
        <w:tc>
          <w:tcPr>
            <w:vMerge w:val="continue"/>
            <w:vAlign w:val="top"/>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pPr>
              <w:contextualSpacing w:val="0"/>
              <w:rPr>
                <w:rFonts w:ascii="Verdana" w:cs="Verdana" w:eastAsia="Verdana" w:hAnsi="Verdana"/>
                <w:color w:val="000033"/>
                <w:sz w:val="21"/>
                <w:szCs w:val="21"/>
              </w:rPr>
            </w:pPr>
            <w:r w:rsidDel="00000000" w:rsidR="00000000" w:rsidRPr="00000000">
              <w:rPr>
                <w:rFonts w:ascii="Verdana" w:cs="Verdana" w:eastAsia="Verdana" w:hAnsi="Verdana"/>
                <w:color w:val="000033"/>
                <w:sz w:val="21"/>
                <w:szCs w:val="21"/>
                <w:rtl w:val="0"/>
              </w:rPr>
              <w:t xml:space="preserve">       (1) usable</w:t>
            </w:r>
          </w:p>
          <w:p w:rsidR="00000000" w:rsidDel="00000000" w:rsidP="00000000" w:rsidRDefault="00000000" w:rsidRPr="00000000">
            <w:pPr>
              <w:contextualSpacing w:val="0"/>
              <w:jc w:val="center"/>
              <w:rPr>
                <w:rFonts w:ascii="Verdana" w:cs="Verdana" w:eastAsia="Verdana" w:hAnsi="Verdana"/>
                <w:color w:val="000033"/>
                <w:sz w:val="21"/>
                <w:szCs w:val="21"/>
              </w:rPr>
            </w:pPr>
            <w:r w:rsidDel="00000000" w:rsidR="00000000" w:rsidRPr="00000000">
              <w:rPr>
                <w:rFonts w:ascii="Verdana" w:cs="Verdana" w:eastAsia="Verdana" w:hAnsi="Verdana"/>
                <w:color w:val="000033"/>
                <w:sz w:val="21"/>
                <w:szCs w:val="21"/>
                <w:rtl w:val="0"/>
              </w:rPr>
              <w:t xml:space="preserve">    (2) unusable </w:t>
            </w:r>
          </w:p>
          <w:p w:rsidR="00000000" w:rsidDel="00000000" w:rsidP="00000000" w:rsidRDefault="00000000" w:rsidRPr="00000000">
            <w:pPr>
              <w:contextualSpacing w:val="0"/>
              <w:jc w:val="center"/>
              <w:rPr>
                <w:rFonts w:ascii="Verdana" w:cs="Verdana" w:eastAsia="Verdana" w:hAnsi="Verdana"/>
                <w:color w:val="000033"/>
                <w:sz w:val="21"/>
                <w:szCs w:val="21"/>
              </w:rPr>
            </w:pPr>
            <w:r w:rsidDel="00000000" w:rsidR="00000000" w:rsidRPr="00000000">
              <w:rPr>
                <w:rFonts w:ascii="Verdana" w:cs="Verdana" w:eastAsia="Verdana" w:hAnsi="Verdana"/>
                <w:color w:val="000033"/>
                <w:sz w:val="21"/>
                <w:szCs w:val="21"/>
                <w:rtl w:val="0"/>
              </w:rPr>
              <w:t xml:space="preserve">      (3) future use</w:t>
            </w:r>
          </w:p>
          <w:p w:rsidR="00000000" w:rsidDel="00000000" w:rsidP="00000000" w:rsidRDefault="00000000" w:rsidRPr="00000000">
            <w:pPr>
              <w:contextualSpacing w:val="0"/>
              <w:jc w:val="center"/>
              <w:rPr>
                <w:rFonts w:ascii="Verdana" w:cs="Verdana" w:eastAsia="Verdana" w:hAnsi="Verdana"/>
                <w:color w:val="000033"/>
                <w:sz w:val="21"/>
                <w:szCs w:val="21"/>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0" w:hRule="atLeast"/>
        </w:trPr>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tcMar>
              <w:top w:w="72.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color w:val="ffffff"/>
          <w:u w:val="single"/>
        </w:rPr>
      </w:pPr>
      <w:r w:rsidDel="00000000" w:rsidR="00000000" w:rsidRPr="00000000">
        <w:rPr>
          <w:rtl w:val="0"/>
        </w:rPr>
      </w:r>
    </w:p>
    <w:sectPr>
      <w:headerReference r:id="rId5" w:type="default"/>
      <w:headerReference r:id="rId6" w:type="first"/>
      <w:footerReference r:id="rId7" w:type="first"/>
      <w:pgSz w:h="12240" w:w="15840"/>
      <w:pgMar w:bottom="576" w:top="720" w:left="576" w:right="36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both"/>
      <w:rPr>
        <w:b w:val="1"/>
        <w:sz w:val="28"/>
        <w:szCs w:val="28"/>
      </w:rPr>
    </w:pPr>
    <w:r w:rsidDel="00000000" w:rsidR="00000000" w:rsidRPr="00000000">
      <w:rPr>
        <w:b w:val="1"/>
        <w:sz w:val="48"/>
        <w:szCs w:val="48"/>
        <w:rtl w:val="0"/>
      </w:rPr>
      <w:t xml:space="preserve">                                   </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Baldwin County School District</w:t>
    </w:r>
    <w:r w:rsidDel="00000000" w:rsidR="00000000" w:rsidRPr="00000000">
      <w:rPr>
        <w:b w:val="1"/>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7229475</wp:posOffset>
          </wp:positionH>
          <wp:positionV relativeFrom="paragraph">
            <wp:posOffset>-66674</wp:posOffset>
          </wp:positionV>
          <wp:extent cx="2060257" cy="2014977"/>
          <wp:effectExtent b="0" l="0" r="0" t="0"/>
          <wp:wrapSquare wrapText="bothSides" distB="114300" distT="114300" distL="114300" distR="114300"/>
          <wp:docPr descr="Baldwin Logo.png" id="1" name="image2.png"/>
          <a:graphic>
            <a:graphicData uri="http://schemas.openxmlformats.org/drawingml/2006/picture">
              <pic:pic>
                <pic:nvPicPr>
                  <pic:cNvPr descr="Baldwin Logo.png" id="0" name="image2.png"/>
                  <pic:cNvPicPr preferRelativeResize="0"/>
                </pic:nvPicPr>
                <pic:blipFill>
                  <a:blip r:embed="rId1"/>
                  <a:srcRect b="0" l="0" r="0" t="0"/>
                  <a:stretch>
                    <a:fillRect/>
                  </a:stretch>
                </pic:blipFill>
                <pic:spPr>
                  <a:xfrm>
                    <a:off x="0" y="0"/>
                    <a:ext cx="2060257" cy="2014977"/>
                  </a:xfrm>
                  <a:prstGeom prst="rect"/>
                  <a:ln/>
                </pic:spPr>
              </pic:pic>
            </a:graphicData>
          </a:graphic>
        </wp:anchor>
      </w:drawing>
    </w:r>
  </w:p>
  <w:p w:rsidR="00000000" w:rsidDel="00000000" w:rsidP="00000000" w:rsidRDefault="00000000" w:rsidRPr="00000000">
    <w:pPr>
      <w:pStyle w:val="Heading1"/>
      <w:contextualSpacing w:val="0"/>
      <w:jc w:val="both"/>
      <w:rPr>
        <w:b w:val="1"/>
        <w:sz w:val="48"/>
        <w:szCs w:val="48"/>
      </w:rPr>
    </w:pPr>
    <w:bookmarkStart w:colFirst="0" w:colLast="0" w:name="_o5ioz93q693d" w:id="1"/>
    <w:bookmarkEnd w:id="1"/>
    <w:r w:rsidDel="00000000" w:rsidR="00000000" w:rsidRPr="00000000">
      <w:rPr>
        <w:sz w:val="28"/>
        <w:szCs w:val="28"/>
        <w:u w:val="none"/>
        <w:rtl w:val="0"/>
      </w:rPr>
      <w:t xml:space="preserve">                                                                                      SURPLUS FORM</w:t>
    </w:r>
    <w:r w:rsidDel="00000000" w:rsidR="00000000" w:rsidRPr="00000000">
      <w:rPr>
        <w:b w:val="1"/>
        <w:sz w:val="28"/>
        <w:szCs w:val="28"/>
        <w:rtl w:val="0"/>
      </w:rPr>
      <w:t xml:space="preserve">            </w:t>
    </w:r>
    <w:r w:rsidDel="00000000" w:rsidR="00000000" w:rsidRPr="00000000">
      <w:rPr>
        <w:b w:val="1"/>
        <w:sz w:val="48"/>
        <w:szCs w:val="4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15.0" w:type="dxa"/>
        <w:bottom w:w="0.0" w:type="dxa"/>
        <w:right w:w="115.0" w:type="dxa"/>
      </w:tblCellMar>
    </w:tblPr>
  </w:style>
  <w:style w:type="table" w:styleId="Table2">
    <w:basedOn w:val="TableNormal"/>
    <w:tblPr>
      <w:tblStyleRowBandSize w:val="1"/>
      <w:tblStyleColBandSize w:val="1"/>
      <w:tblCellMar>
        <w:top w:w="144.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